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06884"/>
          <w:sz w:val="19"/>
        </w:rPr>
        <w:t>MODIFIABLE REQUEST FOR PROPOSALS (RFP) TEMPLATE  |  VNA-RFP-021</w:t>
      </w:r>
    </w:p>
    <w:p>
      <w:pPr>
        <w:pStyle w:val="Heading1"/>
      </w:pPr>
      <w:r>
        <w:rPr>
          <w:color w:val="1B262B"/>
        </w:rPr>
        <w:t>Request for Proposals (RFP): EPM &amp; Hyperion Branch Management, M&amp;A Acquisition Onboarding &amp; Trial Balance Hub on OCI &amp; APEX</w:t>
      </w:r>
    </w:p>
    <w:p>
      <w:r>
        <w:rPr>
          <w:sz w:val="20"/>
        </w:rPr>
        <w:t>Instructions for RFP Author: This editable Microsoft Word (.docx) document is structured so your IT, Architecture, and Procurement teams can issue a competitive, apples-to-apples Request for Proposals. Replace all bracketed placeholders ([...]) below with your organization's dates, contacts, and inventory counts.</w:t>
      </w:r>
    </w:p>
    <w:p>
      <w:pPr>
        <w:pStyle w:val="Heading2"/>
      </w:pPr>
      <w:r>
        <w:rPr>
          <w:color w:val="006884"/>
        </w:rPr>
        <w:t>Section 1: Issuing Organization Profile &amp; Procurement Schedule (Editable)</w:t>
      </w:r>
    </w:p>
    <w:tbl>
      <w:tblPr>
        <w:tblStyle w:val="TableGrid"/>
        <w:tblW w:type="auto" w:w="0"/>
        <w:tblLook w:firstColumn="1" w:firstRow="1" w:lastColumn="0" w:lastRow="0" w:noHBand="0" w:noVBand="1" w:val="04A0"/>
      </w:tblPr>
      <w:tblGrid>
        <w:gridCol w:w="5040"/>
        <w:gridCol w:w="5040"/>
      </w:tblGrid>
      <w:tr>
        <w:tc>
          <w:tcPr>
            <w:tcW w:type="dxa" w:w="5040"/>
            <w:shd w:val="clear" w:color="auto" w:fill="182830"/>
          </w:tcPr>
          <w:p>
            <w:r>
              <w:rPr>
                <w:b/>
                <w:color w:val="FFFFFF"/>
                <w:sz w:val="19"/>
              </w:rPr>
              <w:t>Procurement Milestone / Field</w:t>
            </w:r>
          </w:p>
        </w:tc>
        <w:tc>
          <w:tcPr>
            <w:tcW w:type="dxa" w:w="5040"/>
            <w:shd w:val="clear" w:color="auto" w:fill="182830"/>
          </w:tcPr>
          <w:p>
            <w:r>
              <w:rPr>
                <w:b/>
                <w:color w:val="FFFFFF"/>
                <w:sz w:val="19"/>
              </w:rPr>
              <w:t>Target Date / Entry (Editable)</w:t>
            </w:r>
          </w:p>
        </w:tc>
      </w:tr>
      <w:tr>
        <w:tc>
          <w:tcPr>
            <w:tcW w:type="dxa" w:w="5040"/>
          </w:tcPr>
          <w:p>
            <w:r>
              <w:rPr>
                <w:b/>
              </w:rPr>
              <w:t>Issuing Organization Name</w:t>
            </w:r>
          </w:p>
        </w:tc>
        <w:tc>
          <w:tcPr>
            <w:tcW w:type="dxa" w:w="5040"/>
          </w:tcPr>
          <w:p>
            <w:r>
              <w:t>[Insert Legal Entity / Company Name]</w:t>
            </w:r>
          </w:p>
        </w:tc>
      </w:tr>
      <w:tr>
        <w:tc>
          <w:tcPr>
            <w:tcW w:type="dxa" w:w="5040"/>
          </w:tcPr>
          <w:p>
            <w:r>
              <w:rPr>
                <w:b/>
              </w:rPr>
              <w:t>Executive Sponsor &amp; Procurement Contact</w:t>
            </w:r>
          </w:p>
        </w:tc>
        <w:tc>
          <w:tcPr>
            <w:tcW w:type="dxa" w:w="5040"/>
          </w:tcPr>
          <w:p>
            <w:r>
              <w:t>[Insert Name, Title, Work Email &amp; Phone]</w:t>
            </w:r>
          </w:p>
        </w:tc>
      </w:tr>
      <w:tr>
        <w:tc>
          <w:tcPr>
            <w:tcW w:type="dxa" w:w="5040"/>
          </w:tcPr>
          <w:p>
            <w:r>
              <w:rPr>
                <w:b/>
              </w:rPr>
              <w:t>RFP Reference Code</w:t>
            </w:r>
          </w:p>
        </w:tc>
        <w:tc>
          <w:tcPr>
            <w:tcW w:type="dxa" w:w="5040"/>
          </w:tcPr>
          <w:p>
            <w:r>
              <w:t>VNA-RFP-021 (Companion to Solution Brief VNA-SB-021)</w:t>
            </w:r>
          </w:p>
        </w:tc>
      </w:tr>
      <w:tr>
        <w:tc>
          <w:tcPr>
            <w:tcW w:type="dxa" w:w="5040"/>
          </w:tcPr>
          <w:p>
            <w:r>
              <w:rPr>
                <w:b/>
              </w:rPr>
              <w:t>RFP Issue Date</w:t>
            </w:r>
          </w:p>
        </w:tc>
        <w:tc>
          <w:tcPr>
            <w:tcW w:type="dxa" w:w="5040"/>
          </w:tcPr>
          <w:p>
            <w:r>
              <w:t>[2026-10-27]</w:t>
            </w:r>
          </w:p>
        </w:tc>
      </w:tr>
      <w:tr>
        <w:tc>
          <w:tcPr>
            <w:tcW w:type="dxa" w:w="5040"/>
          </w:tcPr>
          <w:p>
            <w:r>
              <w:rPr>
                <w:b/>
              </w:rPr>
              <w:t>Vendor Written Questions Due</w:t>
            </w:r>
          </w:p>
        </w:tc>
        <w:tc>
          <w:tcPr>
            <w:tcW w:type="dxa" w:w="5040"/>
          </w:tcPr>
          <w:p>
            <w:r>
              <w:t>[Insert Date - Week 2]</w:t>
            </w:r>
          </w:p>
        </w:tc>
      </w:tr>
      <w:tr>
        <w:tc>
          <w:tcPr>
            <w:tcW w:type="dxa" w:w="5040"/>
          </w:tcPr>
          <w:p>
            <w:r>
              <w:rPr>
                <w:b/>
              </w:rPr>
              <w:t>Organization Responses to Vendor Q&amp;A</w:t>
            </w:r>
          </w:p>
        </w:tc>
        <w:tc>
          <w:tcPr>
            <w:tcW w:type="dxa" w:w="5040"/>
          </w:tcPr>
          <w:p>
            <w:r>
              <w:t>[Insert Date - Week 3]</w:t>
            </w:r>
          </w:p>
        </w:tc>
      </w:tr>
      <w:tr>
        <w:tc>
          <w:tcPr>
            <w:tcW w:type="dxa" w:w="5040"/>
          </w:tcPr>
          <w:p>
            <w:r>
              <w:rPr>
                <w:b/>
              </w:rPr>
              <w:t>Final Vendor Proposals &amp; Fixed-Fee Pricing Due</w:t>
            </w:r>
          </w:p>
        </w:tc>
        <w:tc>
          <w:tcPr>
            <w:tcW w:type="dxa" w:w="5040"/>
          </w:tcPr>
          <w:p>
            <w:r>
              <w:t>[Insert Date - Week 4]</w:t>
            </w:r>
          </w:p>
        </w:tc>
      </w:tr>
      <w:tr>
        <w:tc>
          <w:tcPr>
            <w:tcW w:type="dxa" w:w="5040"/>
          </w:tcPr>
          <w:p>
            <w:r>
              <w:rPr>
                <w:b/>
              </w:rPr>
              <w:t>Technical Architecture Demos / Oral Presentations</w:t>
            </w:r>
          </w:p>
        </w:tc>
        <w:tc>
          <w:tcPr>
            <w:tcW w:type="dxa" w:w="5040"/>
          </w:tcPr>
          <w:p>
            <w:r>
              <w:t>[Insert Date - Week 5]</w:t>
            </w:r>
          </w:p>
        </w:tc>
      </w:tr>
      <w:tr>
        <w:tc>
          <w:tcPr>
            <w:tcW w:type="dxa" w:w="5040"/>
          </w:tcPr>
          <w:p>
            <w:r>
              <w:rPr>
                <w:b/>
              </w:rPr>
              <w:t>Target Contract Award &amp; Phase 0 Kickoff</w:t>
            </w:r>
          </w:p>
        </w:tc>
        <w:tc>
          <w:tcPr>
            <w:tcW w:type="dxa" w:w="5040"/>
          </w:tcPr>
          <w:p>
            <w:r>
              <w:t>[Insert Date - Week 6]</w:t>
            </w:r>
          </w:p>
        </w:tc>
      </w:tr>
    </w:tbl>
    <w:p>
      <w:r>
        <w:t>[INSERT COMPANY NAME] ('Organization') is soliciting competitive proposals from qualified enterprise architecture and engineering partners to modernize and transition our current On-Premises Hyperion HFM, Essbase, Planning, Brittle FDMEE Scripts &amp; Acquired Subsidiary ERPs (QuickBooks / NetSuite / Legacy GLs) environment to Oracle EPM Cloud (FCCS / EPBCS), Autonomous DB 23ai Financial Data Hub, APEX Branch Management &amp; Acquisition Onboarding App + AOP.</w:t>
      </w:r>
    </w:p>
    <w:p>
      <w:pPr>
        <w:pStyle w:val="ListBullet"/>
      </w:pPr>
      <w:r>
        <w:t>M&amp;A &amp; Global Branch Onboarding Bottleneck: Pre-IPO and acquisitive enterprises buying small domestic and international branches cannot wait 4 to 6 months per acquisition to roll out full Oracle Fusion ERP or rewrite Hyperion FDMEE integrations before getting visibility into cash, payments, and trial balances.</w:t>
      </w:r>
    </w:p>
    <w:p>
      <w:pPr>
        <w:pStyle w:val="ListBullet"/>
      </w:pPr>
      <w:r>
        <w:t>Brittle FDMEE Scripts &amp; Rigid Essbase Cubes: Traditional Hyperion HFM, Planning, and Essbase environments bury critical Chart of Accounts (COA) mappings, currency translations, and allocation logic inside fragile FDMEE Jython/VBScript load rules that break whenever a branch adds an account.</w:t>
      </w:r>
    </w:p>
    <w:p>
      <w:pPr>
        <w:pStyle w:val="ListBullet"/>
      </w:pPr>
      <w:r>
        <w:t>Expensive Intercompany &amp; Manual Smart View Marathons: Settling intercompany AR/AP across dozens of branches often triggers $900K+ COTS software quotes, while analysts spend weeks copying Smart View slices into Excel board books that lose their underlying transactional audit trail.</w:t>
      </w:r>
    </w:p>
    <w:p>
      <w:pPr>
        <w:pStyle w:val="Heading2"/>
      </w:pPr>
      <w:r>
        <w:rPr>
          <w:color w:val="006884"/>
        </w:rPr>
        <w:t>Section 2: Current Environment Baseline Inventory (Editable)</w:t>
      </w:r>
    </w:p>
    <w:tbl>
      <w:tblPr>
        <w:tblStyle w:val="TableGrid"/>
        <w:tblW w:type="auto" w:w="0"/>
        <w:tblLook w:firstColumn="1" w:firstRow="1" w:lastColumn="0" w:lastRow="0" w:noHBand="0" w:noVBand="1" w:val="04A0"/>
      </w:tblPr>
      <w:tblGrid>
        <w:gridCol w:w="3360"/>
        <w:gridCol w:w="3360"/>
        <w:gridCol w:w="3360"/>
      </w:tblGrid>
      <w:tr>
        <w:tc>
          <w:tcPr>
            <w:tcW w:type="dxa" w:w="3360"/>
            <w:shd w:val="clear" w:color="auto" w:fill="006884"/>
          </w:tcPr>
          <w:p>
            <w:r>
              <w:rPr>
                <w:b/>
                <w:color w:val="FFFFFF"/>
                <w:sz w:val="19"/>
              </w:rPr>
              <w:t>Inventory Dimension</w:t>
            </w:r>
          </w:p>
        </w:tc>
        <w:tc>
          <w:tcPr>
            <w:tcW w:type="dxa" w:w="3360"/>
            <w:shd w:val="clear" w:color="auto" w:fill="006884"/>
          </w:tcPr>
          <w:p>
            <w:r>
              <w:rPr>
                <w:b/>
                <w:color w:val="FFFFFF"/>
                <w:sz w:val="19"/>
              </w:rPr>
              <w:t>Current Baseline Footprint (Editable)</w:t>
            </w:r>
          </w:p>
        </w:tc>
        <w:tc>
          <w:tcPr>
            <w:tcW w:type="dxa" w:w="3360"/>
            <w:shd w:val="clear" w:color="auto" w:fill="006884"/>
          </w:tcPr>
          <w:p>
            <w:r>
              <w:rPr>
                <w:b/>
                <w:color w:val="FFFFFF"/>
                <w:sz w:val="19"/>
              </w:rPr>
              <w:t>Target Modernization SLA / Objective</w:t>
            </w:r>
          </w:p>
        </w:tc>
      </w:tr>
      <w:tr>
        <w:tc>
          <w:tcPr>
            <w:tcW w:type="dxa" w:w="3360"/>
          </w:tcPr>
          <w:p>
            <w:r>
              <w:rPr>
                <w:b/>
              </w:rPr>
              <w:t>Legacy Source Stack (Stack X)</w:t>
            </w:r>
          </w:p>
        </w:tc>
        <w:tc>
          <w:tcPr>
            <w:tcW w:type="dxa" w:w="3360"/>
          </w:tcPr>
          <w:p>
            <w:r>
              <w:t>On-Premises Hyperion HFM, Essbase, Planning, Brittle FDMEE Scripts &amp; Acquired Subsidiary ERPs (QuickBooks / NetSuite / Legacy GLs)</w:t>
            </w:r>
          </w:p>
        </w:tc>
        <w:tc>
          <w:tcPr>
            <w:tcW w:type="dxa" w:w="3360"/>
          </w:tcPr>
          <w:p>
            <w:r>
              <w:t>Full retirement / modernization</w:t>
            </w:r>
          </w:p>
        </w:tc>
      </w:tr>
      <w:tr>
        <w:tc>
          <w:tcPr>
            <w:tcW w:type="dxa" w:w="3360"/>
          </w:tcPr>
          <w:p>
            <w:r>
              <w:rPr>
                <w:b/>
              </w:rPr>
              <w:t>Target Architecture (Stack Y)</w:t>
            </w:r>
          </w:p>
        </w:tc>
        <w:tc>
          <w:tcPr>
            <w:tcW w:type="dxa" w:w="3360"/>
          </w:tcPr>
          <w:p>
            <w:r>
              <w:t>Oracle EPM Cloud (FCCS / EPBCS), Autonomous DB 23ai Financial Data Hub, APEX Branch Management &amp; Acquisition Onboarding App + AOP</w:t>
            </w:r>
          </w:p>
        </w:tc>
        <w:tc>
          <w:tcPr>
            <w:tcW w:type="dxa" w:w="3360"/>
          </w:tcPr>
          <w:p>
            <w:r>
              <w:t>Production HA/DR &amp; security governance</w:t>
            </w:r>
          </w:p>
        </w:tc>
      </w:tr>
      <w:tr>
        <w:tc>
          <w:tcPr>
            <w:tcW w:type="dxa" w:w="3360"/>
          </w:tcPr>
          <w:p>
            <w:r>
              <w:rPr>
                <w:b/>
              </w:rPr>
              <w:t>Acquired Branches, Subsidiaries &amp; HFM/Essbase Cubes</w:t>
            </w:r>
          </w:p>
        </w:tc>
        <w:tc>
          <w:tcPr>
            <w:tcW w:type="dxa" w:w="3360"/>
          </w:tcPr>
          <w:p>
            <w:r>
              <w:t>[Insert Count, e.g., 12 branches/cubes]</w:t>
            </w:r>
          </w:p>
        </w:tc>
        <w:tc>
          <w:tcPr>
            <w:tcW w:type="dxa" w:w="3360"/>
          </w:tcPr>
          <w:p>
            <w:r>
              <w:t>100% functional parity &amp; optimization</w:t>
            </w:r>
          </w:p>
        </w:tc>
      </w:tr>
      <w:tr>
        <w:tc>
          <w:tcPr>
            <w:tcW w:type="dxa" w:w="3360"/>
          </w:tcPr>
          <w:p>
            <w:r>
              <w:rPr>
                <w:b/>
              </w:rPr>
              <w:t>FDMEE Data Load Rules, Trial Balances &amp; COA Mappings</w:t>
            </w:r>
          </w:p>
        </w:tc>
        <w:tc>
          <w:tcPr>
            <w:tcW w:type="dxa" w:w="3360"/>
          </w:tcPr>
          <w:p>
            <w:r>
              <w:t>[Insert Count, e.g., 180 rules/TBs]</w:t>
            </w:r>
          </w:p>
        </w:tc>
        <w:tc>
          <w:tcPr>
            <w:tcW w:type="dxa" w:w="3360"/>
          </w:tcPr>
          <w:p>
            <w:r>
              <w:t>Automated AST &amp; schema uplift</w:t>
            </w:r>
          </w:p>
        </w:tc>
      </w:tr>
      <w:tr>
        <w:tc>
          <w:tcPr>
            <w:tcW w:type="dxa" w:w="3360"/>
          </w:tcPr>
          <w:p>
            <w:r>
              <w:rPr>
                <w:b/>
              </w:rPr>
              <w:t>Intercompany Entities &amp; AOP Board Report Packages</w:t>
            </w:r>
          </w:p>
        </w:tc>
        <w:tc>
          <w:tcPr>
            <w:tcW w:type="dxa" w:w="3360"/>
          </w:tcPr>
          <w:p>
            <w:r>
              <w:t>[Insert Count, e.g., 18 IC/AOP packs]</w:t>
            </w:r>
          </w:p>
        </w:tc>
        <w:tc>
          <w:tcPr>
            <w:tcW w:type="dxa" w:w="3360"/>
          </w:tcPr>
          <w:p>
            <w:r>
              <w:t>Target rationalization / SLA</w:t>
            </w:r>
          </w:p>
        </w:tc>
      </w:tr>
      <w:tr>
        <w:tc>
          <w:tcPr>
            <w:tcW w:type="dxa" w:w="3360"/>
          </w:tcPr>
          <w:p>
            <w:r>
              <w:rPr>
                <w:b/>
              </w:rPr>
              <w:t>Target Cutover Downtime Window</w:t>
            </w:r>
          </w:p>
        </w:tc>
        <w:tc>
          <w:tcPr>
            <w:tcW w:type="dxa" w:w="3360"/>
          </w:tcPr>
          <w:p>
            <w:r>
              <w:t>[e.g., &lt; 15 Minutes / Near-Zero Downtime]</w:t>
            </w:r>
          </w:p>
        </w:tc>
        <w:tc>
          <w:tcPr>
            <w:tcW w:type="dxa" w:w="3360"/>
          </w:tcPr>
          <w:p>
            <w:r>
              <w:t>Rehearsed parallel run + rollback plan</w:t>
            </w:r>
          </w:p>
        </w:tc>
      </w:tr>
      <w:tr>
        <w:tc>
          <w:tcPr>
            <w:tcW w:type="dxa" w:w="3360"/>
          </w:tcPr>
          <w:p>
            <w:r>
              <w:rPr>
                <w:b/>
              </w:rPr>
              <w:t>Security, Compliance &amp; Identity</w:t>
            </w:r>
          </w:p>
        </w:tc>
        <w:tc>
          <w:tcPr>
            <w:tcW w:type="dxa" w:w="3360"/>
          </w:tcPr>
          <w:p>
            <w:r>
              <w:t>[e.g., SSO/MFA via Entra ID / Okta, Row-Level VPD]</w:t>
            </w:r>
          </w:p>
        </w:tc>
        <w:tc>
          <w:tcPr>
            <w:tcW w:type="dxa" w:w="3360"/>
          </w:tcPr>
          <w:p>
            <w:r>
              <w:t>Zero critical/high CVEs at Go-Live</w:t>
            </w:r>
          </w:p>
        </w:tc>
      </w:tr>
    </w:tbl>
    <w:p>
      <w:pPr>
        <w:pStyle w:val="Heading2"/>
      </w:pPr>
      <w:r>
        <w:rPr>
          <w:color w:val="006884"/>
        </w:rPr>
        <w:t>Section 3: Mandatory Technical Scope of Work &amp; Conversion Matrix</w:t>
      </w:r>
    </w:p>
    <w:p>
      <w:pPr>
        <w:pStyle w:val="ListNumber"/>
      </w:pPr>
      <w:r>
        <w:rPr>
          <w:b/>
        </w:rPr>
        <w:t xml:space="preserve">[REQ-ARCH-01] </w:t>
      </w:r>
      <w:r>
        <w:t>Branch Management ('The Agile Acquisition Onboarding Data App'): Deployed in Oracle APEX 24.2 on Autonomous Database 23ai, this application acts as an immediate operational bridge for newly acquired domestic and international branches. Remote branch controllers upload non-standard trial balances and PDF bank statements (parsed via OCI Document Understanding and Generative AI), route branch disbursements through centralized remote payment authorization workflows, and feed corporate consolidation within days of deal close.</w:t>
      </w:r>
    </w:p>
    <w:p>
      <w:pPr>
        <w:pStyle w:val="ListNumber"/>
      </w:pPr>
      <w:r>
        <w:rPr>
          <w:b/>
        </w:rPr>
        <w:t xml:space="preserve">[REQ-ARCH-02] </w:t>
      </w:r>
      <w:r>
        <w:t>The OCI Intelligent Financial Data Hub ('Flexible Shock Absorber' Replacing FDMEE): Instead of wiring messy source ERPs directly into Hyperion or FCCS via brittle FDMEE scripts, Autonomous Database 23ai sits in the middle as a governed 'Shock Absorber.' Finance Data Engineers manage COA crosswalks, entity hierarchies, and pre-load balance validations directly in APEX before pushing clean, balanced data to Oracle EPM Cloud (FCCS / EPBCS) via EPM Integration Agent and REST APIs.</w:t>
      </w:r>
    </w:p>
    <w:p>
      <w:pPr>
        <w:pStyle w:val="ListNumber"/>
      </w:pPr>
      <w:r>
        <w:rPr>
          <w:b/>
        </w:rPr>
        <w:t xml:space="preserve">[REQ-ARCH-03] </w:t>
      </w:r>
      <w:r>
        <w:t>Built-In Intercompany Settlement Hub: Automates multi-entity intercompany invoicing, currency tie-outs, and elimination matching across parent and acquired branches inside the OCI Financial Data Hub, avoiding $900K+ in standalone commercial intercompany software licenses.</w:t>
      </w:r>
    </w:p>
    <w:p>
      <w:pPr>
        <w:pStyle w:val="ListNumber"/>
      </w:pPr>
      <w:r>
        <w:rPr>
          <w:b/>
        </w:rPr>
        <w:t xml:space="preserve">[REQ-ARCH-04] </w:t>
      </w:r>
      <w:r>
        <w:t>Auditable Financial Reporting Hub with APEX Office Print (AOP): Generates pixel-perfect multi-tab Excel, PDF, and Word financial packages where executive summary tabs are dynamically bundled with locked, read-only source detail tabs ('Answer Every Question' in a single auditable workbook).</w:t>
      </w:r>
    </w:p>
    <w:tbl>
      <w:tblPr>
        <w:tblStyle w:val="TableGrid"/>
        <w:tblW w:type="auto" w:w="0"/>
        <w:tblLook w:firstColumn="1" w:firstRow="1" w:lastColumn="0" w:lastRow="0" w:noHBand="0" w:noVBand="1" w:val="04A0"/>
      </w:tblPr>
      <w:tblGrid>
        <w:gridCol w:w="2520"/>
        <w:gridCol w:w="2520"/>
        <w:gridCol w:w="2520"/>
        <w:gridCol w:w="2520"/>
      </w:tblGrid>
      <w:tr>
        <w:tc>
          <w:tcPr>
            <w:tcW w:type="dxa" w:w="2520"/>
            <w:shd w:val="clear" w:color="auto" w:fill="182830"/>
          </w:tcPr>
          <w:p>
            <w:r>
              <w:rPr>
                <w:b/>
                <w:color w:val="FFFFFF"/>
                <w:sz w:val="19"/>
              </w:rPr>
              <w:t>Req ID</w:t>
            </w:r>
          </w:p>
        </w:tc>
        <w:tc>
          <w:tcPr>
            <w:tcW w:type="dxa" w:w="2520"/>
            <w:shd w:val="clear" w:color="auto" w:fill="182830"/>
          </w:tcPr>
          <w:p>
            <w:r>
              <w:rPr>
                <w:b/>
                <w:color w:val="FFFFFF"/>
                <w:sz w:val="19"/>
              </w:rPr>
              <w:t>Legacy Artifact / Baseline Workload</w:t>
            </w:r>
          </w:p>
        </w:tc>
        <w:tc>
          <w:tcPr>
            <w:tcW w:type="dxa" w:w="2520"/>
            <w:shd w:val="clear" w:color="auto" w:fill="182830"/>
          </w:tcPr>
          <w:p>
            <w:r>
              <w:rPr>
                <w:b/>
                <w:color w:val="FFFFFF"/>
                <w:sz w:val="19"/>
              </w:rPr>
              <w:t>Required Target Architecture</w:t>
            </w:r>
          </w:p>
        </w:tc>
        <w:tc>
          <w:tcPr>
            <w:tcW w:type="dxa" w:w="2520"/>
            <w:shd w:val="clear" w:color="auto" w:fill="182830"/>
          </w:tcPr>
          <w:p>
            <w:r>
              <w:rPr>
                <w:b/>
                <w:color w:val="FFFFFF"/>
                <w:sz w:val="19"/>
              </w:rPr>
              <w:t>Engineering Method &amp; Acceptance Gate</w:t>
            </w:r>
          </w:p>
        </w:tc>
      </w:tr>
      <w:tr>
        <w:tc>
          <w:tcPr>
            <w:tcW w:type="dxa" w:w="2520"/>
          </w:tcPr>
          <w:p>
            <w:r>
              <w:rPr>
                <w:b/>
              </w:rPr>
              <w:t>REQ-01</w:t>
            </w:r>
          </w:p>
        </w:tc>
        <w:tc>
          <w:tcPr>
            <w:tcW w:type="dxa" w:w="2520"/>
          </w:tcPr>
          <w:p>
            <w:r>
              <w:t>4-to-6 Month Post-Merger ERP Rollout for Acquired Branches</w:t>
            </w:r>
          </w:p>
        </w:tc>
        <w:tc>
          <w:tcPr>
            <w:tcW w:type="dxa" w:w="2520"/>
          </w:tcPr>
          <w:p>
            <w:r>
              <w:t>APEX Branch Management &amp; Agile Acquisition Onboarding Data App</w:t>
            </w:r>
          </w:p>
        </w:tc>
        <w:tc>
          <w:tcPr>
            <w:tcW w:type="dxa" w:w="2520"/>
          </w:tcPr>
          <w:p>
            <w:r>
              <w:t>Onboard acquired branches in days with AI trial-balance parsing &amp; remote payment controls</w:t>
            </w:r>
          </w:p>
        </w:tc>
      </w:tr>
      <w:tr>
        <w:tc>
          <w:tcPr>
            <w:tcW w:type="dxa" w:w="2520"/>
          </w:tcPr>
          <w:p>
            <w:r>
              <w:rPr>
                <w:b/>
              </w:rPr>
              <w:t>REQ-02</w:t>
            </w:r>
          </w:p>
        </w:tc>
        <w:tc>
          <w:tcPr>
            <w:tcW w:type="dxa" w:w="2520"/>
          </w:tcPr>
          <w:p>
            <w:r>
              <w:t>Brittle Hyperion FDMEE / ODI Jython &amp; VBScript Load Rules</w:t>
            </w:r>
          </w:p>
        </w:tc>
        <w:tc>
          <w:tcPr>
            <w:tcW w:type="dxa" w:w="2520"/>
          </w:tcPr>
          <w:p>
            <w:r>
              <w:t>OCI 23ai Financial Data Hub ('Shock Absorber') + APEX COA Crosswalks</w:t>
            </w:r>
          </w:p>
        </w:tc>
        <w:tc>
          <w:tcPr>
            <w:tcW w:type="dxa" w:w="2520"/>
          </w:tcPr>
          <w:p>
            <w:r>
              <w:t>Self-service Finance Data Engineer mapping UI with automated debit/credit tie-out checks</w:t>
            </w:r>
          </w:p>
        </w:tc>
      </w:tr>
      <w:tr>
        <w:tc>
          <w:tcPr>
            <w:tcW w:type="dxa" w:w="2520"/>
          </w:tcPr>
          <w:p>
            <w:r>
              <w:rPr>
                <w:b/>
              </w:rPr>
              <w:t>REQ-03</w:t>
            </w:r>
          </w:p>
        </w:tc>
        <w:tc>
          <w:tcPr>
            <w:tcW w:type="dxa" w:w="2520"/>
          </w:tcPr>
          <w:p>
            <w:r>
              <w:t>On-Premises Hyperion Financial Management (HFM) &amp; Essbase</w:t>
            </w:r>
          </w:p>
        </w:tc>
        <w:tc>
          <w:tcPr>
            <w:tcW w:type="dxa" w:w="2520"/>
          </w:tcPr>
          <w:p>
            <w:r>
              <w:t>Oracle EPM Cloud (FCCS / EPBCS) + Autonomous DB 23ai Analytic Views</w:t>
            </w:r>
          </w:p>
        </w:tc>
        <w:tc>
          <w:tcPr>
            <w:tcW w:type="dxa" w:w="2520"/>
          </w:tcPr>
          <w:p>
            <w:r>
              <w:t>Migrate consolidation rules to FCCS while offloading high-volume operational drill-downs to 23ai</w:t>
            </w:r>
          </w:p>
        </w:tc>
      </w:tr>
      <w:tr>
        <w:tc>
          <w:tcPr>
            <w:tcW w:type="dxa" w:w="2520"/>
          </w:tcPr>
          <w:p>
            <w:r>
              <w:rPr>
                <w:b/>
              </w:rPr>
              <w:t>REQ-04</w:t>
            </w:r>
          </w:p>
        </w:tc>
        <w:tc>
          <w:tcPr>
            <w:tcW w:type="dxa" w:w="2520"/>
          </w:tcPr>
          <w:p>
            <w:r>
              <w:t>Manual Intercompany Spreadsheets or $900K+ COTS Intercompany Tools</w:t>
            </w:r>
          </w:p>
        </w:tc>
        <w:tc>
          <w:tcPr>
            <w:tcW w:type="dxa" w:w="2520"/>
          </w:tcPr>
          <w:p>
            <w:r>
              <w:t>APEX Intercompany Settlement &amp; Elimination Hub on OCI</w:t>
            </w:r>
          </w:p>
        </w:tc>
        <w:tc>
          <w:tcPr>
            <w:tcW w:type="dxa" w:w="2520"/>
          </w:tcPr>
          <w:p>
            <w:r>
              <w:t>Automated multi-branch AR/AP matching, FX translation, and elimination journal generation</w:t>
            </w:r>
          </w:p>
        </w:tc>
      </w:tr>
      <w:tr>
        <w:tc>
          <w:tcPr>
            <w:tcW w:type="dxa" w:w="2520"/>
          </w:tcPr>
          <w:p>
            <w:r>
              <w:rPr>
                <w:b/>
              </w:rPr>
              <w:t>REQ-05</w:t>
            </w:r>
          </w:p>
        </w:tc>
        <w:tc>
          <w:tcPr>
            <w:tcW w:type="dxa" w:w="2520"/>
          </w:tcPr>
          <w:p>
            <w:r>
              <w:t>Disconnected Excel Smart View Board &amp; Audit Packages</w:t>
            </w:r>
          </w:p>
        </w:tc>
        <w:tc>
          <w:tcPr>
            <w:tcW w:type="dxa" w:w="2520"/>
          </w:tcPr>
          <w:p>
            <w:r>
              <w:t>APEX Financial Reporting Hub + APEX Office Print (AOP)</w:t>
            </w:r>
          </w:p>
        </w:tc>
        <w:tc>
          <w:tcPr>
            <w:tcW w:type="dxa" w:w="2520"/>
          </w:tcPr>
          <w:p>
            <w:r>
              <w:t>One-click multi-tab Excel/PDF books bundling summary statements with locked source ledger tabs</w:t>
            </w:r>
          </w:p>
        </w:tc>
      </w:tr>
    </w:tbl>
    <w:p>
      <w:pPr>
        <w:pStyle w:val="Heading2"/>
      </w:pPr>
      <w:r>
        <w:rPr>
          <w:color w:val="006884"/>
        </w:rPr>
        <w:t>Section 4: Vendor Technical Q&amp;A Questionnaire &amp; Evaluation Rubric</w:t>
      </w:r>
    </w:p>
    <w:p>
      <w:r>
        <w:t>Bidders must provide direct written responses to each question below. Evaluation committee members can grade vendor responses (0 to 10 points) using the Reference Evaluation Benchmark provided under each question.</w:t>
      </w:r>
    </w:p>
    <w:p>
      <w:r>
        <w:rPr>
          <w:b/>
        </w:rPr>
        <w:t>Vendor Question 1: What is the Branch Management &amp; Agile Acquisition Onboarding Data App?   [Evaluator Score: ___ / 10]</w:t>
      </w:r>
    </w:p>
    <w:p>
      <w:pPr>
        <w:pStyle w:val="ListBullet"/>
      </w:pPr>
      <w:r>
        <w:rPr>
          <w:b/>
        </w:rPr>
        <w:t xml:space="preserve">Reference Evaluation Benchmark: </w:t>
      </w:r>
      <w:r>
        <w:t>It is an Oracle APEX 24.2 and Autonomous Database 23ai solution designed for acquisitive enterprises that need immediate financial governance over newly acquired domestic or international branches before rolling out full corporate ERP. It handles AI-assisted trial balance and PDF bank statement ingestion, COA crosswalk mapping, remote payment authorization, and intercompany settlement in days instead of months.</w:t>
      </w:r>
    </w:p>
    <w:p>
      <w:pPr>
        <w:pStyle w:val="ListBullet"/>
      </w:pPr>
      <w:r>
        <w:rPr>
          <w:b/>
        </w:rPr>
        <w:t xml:space="preserve">Vendor Written Response: </w:t>
      </w:r>
      <w:r>
        <w:t>[Bidder to insert concrete technical architecture and verifiable production proof here]</w:t>
      </w:r>
    </w:p>
    <w:p>
      <w:r>
        <w:rPr>
          <w:b/>
        </w:rPr>
        <w:t>Vendor Question 2: Why put an OCI Autonomous Database Financial Data Hub in front of Oracle EPM Cloud (FCCS / EPBCS)?   [Evaluator Score: ___ / 10]</w:t>
      </w:r>
    </w:p>
    <w:p>
      <w:pPr>
        <w:pStyle w:val="ListBullet"/>
      </w:pPr>
      <w:r>
        <w:rPr>
          <w:b/>
        </w:rPr>
        <w:t xml:space="preserve">Reference Evaluation Benchmark: </w:t>
      </w:r>
      <w:r>
        <w:t>EPM Cloud is a specialized consolidation and planning engine, not a staging lakehouse for messy multi-ERP trial balances. Staging and validating source ledgers in an OCI 23ai 'Shock Absorber' with self-service APEX mapping eliminates brittle FDMEE scripts and keeps your EPM cubes clean and fast.</w:t>
      </w:r>
    </w:p>
    <w:p>
      <w:pPr>
        <w:pStyle w:val="ListBullet"/>
      </w:pPr>
      <w:r>
        <w:rPr>
          <w:b/>
        </w:rPr>
        <w:t xml:space="preserve">Vendor Written Response: </w:t>
      </w:r>
      <w:r>
        <w:t>[Bidder to insert concrete technical architecture and verifiable production proof here]</w:t>
      </w:r>
    </w:p>
    <w:p>
      <w:r>
        <w:rPr>
          <w:b/>
        </w:rPr>
        <w:t>Vendor Question 3: How does the Financial Reporting Hub with APEX Office Print (AOP) improve auditability over Smart View?   [Evaluator Score: ___ / 10]</w:t>
      </w:r>
    </w:p>
    <w:p>
      <w:pPr>
        <w:pStyle w:val="ListBullet"/>
      </w:pPr>
      <w:r>
        <w:rPr>
          <w:b/>
        </w:rPr>
        <w:t xml:space="preserve">Reference Evaluation Benchmark: </w:t>
      </w:r>
      <w:r>
        <w:t>While Smart View is great for ad-hoc analyst slicing, formal board and audit packages generated through our APEX + AOP Reporting Hub automatically bundle the formatted financial statements with locked, read-only tabs containing the exact underlying source transactions and parameter metadata, so every number is 100% self-explaining.</w:t>
      </w:r>
    </w:p>
    <w:p>
      <w:pPr>
        <w:pStyle w:val="ListBullet"/>
      </w:pPr>
      <w:r>
        <w:rPr>
          <w:b/>
        </w:rPr>
        <w:t xml:space="preserve">Vendor Written Response: </w:t>
      </w:r>
      <w:r>
        <w:t>[Bidder to insert concrete technical architecture and verifiable production proof here]</w:t>
      </w:r>
    </w:p>
    <w:p>
      <w:r>
        <w:rPr>
          <w:b/>
        </w:rPr>
        <w:t>Vendor Question 4: How do you prevent report and query fan-out bloat, and how do you guarantee 100% customer code ownership?   [Evaluator Score: ___ / 10]</w:t>
      </w:r>
    </w:p>
    <w:p>
      <w:pPr>
        <w:pStyle w:val="ListBullet"/>
      </w:pPr>
      <w:r>
        <w:rPr>
          <w:b/>
        </w:rPr>
        <w:t xml:space="preserve">Reference Evaluation Benchmark: </w:t>
      </w:r>
      <w:r>
        <w:t>Vendor must demonstrate AST SQL clustering (collapsing 75%-90% of cloned queries into core database views with runtime predicates) and confirm 100% customer ownership of all DDL, PL/SQL, APEX, and cloud source code with zero proprietary runtime lock-in.</w:t>
      </w:r>
    </w:p>
    <w:p>
      <w:pPr>
        <w:pStyle w:val="ListBullet"/>
      </w:pPr>
      <w:r>
        <w:rPr>
          <w:b/>
        </w:rPr>
        <w:t xml:space="preserve">Vendor Written Response: </w:t>
      </w:r>
      <w:r>
        <w:t>[Bidder to insert concrete technical architecture and verifiable production proof here]</w:t>
      </w:r>
    </w:p>
    <w:p>
      <w:r>
        <w:rPr>
          <w:b/>
        </w:rPr>
        <w:t>Vendor Question 5: Describe your automated regression testing, data parity verification, and zero-downtime cutover methodology.   [Evaluator Score: ___ / 10]</w:t>
      </w:r>
    </w:p>
    <w:p>
      <w:pPr>
        <w:pStyle w:val="ListBullet"/>
      </w:pPr>
      <w:r>
        <w:rPr>
          <w:b/>
        </w:rPr>
        <w:t xml:space="preserve">Reference Evaluation Benchmark: </w:t>
      </w:r>
      <w:r>
        <w:t>Vendor must provide automated row-count and cryptographic hash reconciliation, automated unit/UI test suites (utPLSQL, Playwright), and a rehearsed cutover runbook with sub-minute rollback capability.</w:t>
      </w:r>
    </w:p>
    <w:p>
      <w:pPr>
        <w:pStyle w:val="ListBullet"/>
      </w:pPr>
      <w:r>
        <w:rPr>
          <w:b/>
        </w:rPr>
        <w:t xml:space="preserve">Vendor Written Response: </w:t>
      </w:r>
      <w:r>
        <w:t>[Bidder to insert concrete technical architecture and verifiable production proof here]</w:t>
      </w:r>
    </w:p>
    <w:p>
      <w:pPr>
        <w:pStyle w:val="Heading2"/>
      </w:pPr>
      <w:r>
        <w:rPr>
          <w:color w:val="006884"/>
        </w:rPr>
        <w:t>Section 5: Commercial Milestone Pricing &amp; Evaluation Scorecard (Editable)</w:t>
      </w:r>
    </w:p>
    <w:tbl>
      <w:tblPr>
        <w:tblStyle w:val="TableGrid"/>
        <w:tblW w:type="auto" w:w="0"/>
        <w:tblLook w:firstColumn="1" w:firstRow="1" w:lastColumn="0" w:lastRow="0" w:noHBand="0" w:noVBand="1" w:val="04A0"/>
      </w:tblPr>
      <w:tblGrid>
        <w:gridCol w:w="2520"/>
        <w:gridCol w:w="2520"/>
        <w:gridCol w:w="2520"/>
        <w:gridCol w:w="2520"/>
      </w:tblGrid>
      <w:tr>
        <w:tc>
          <w:tcPr>
            <w:tcW w:type="dxa" w:w="2520"/>
            <w:shd w:val="clear" w:color="auto" w:fill="182830"/>
          </w:tcPr>
          <w:p>
            <w:r>
              <w:rPr>
                <w:b/>
                <w:color w:val="FFFFFF"/>
                <w:sz w:val="19"/>
              </w:rPr>
              <w:t>Milestone / Phase</w:t>
            </w:r>
          </w:p>
        </w:tc>
        <w:tc>
          <w:tcPr>
            <w:tcW w:type="dxa" w:w="2520"/>
            <w:shd w:val="clear" w:color="auto" w:fill="182830"/>
          </w:tcPr>
          <w:p>
            <w:r>
              <w:rPr>
                <w:b/>
                <w:color w:val="FFFFFF"/>
                <w:sz w:val="19"/>
              </w:rPr>
              <w:t>Deliverable &amp; Acceptance Gate</w:t>
            </w:r>
          </w:p>
        </w:tc>
        <w:tc>
          <w:tcPr>
            <w:tcW w:type="dxa" w:w="2520"/>
            <w:shd w:val="clear" w:color="auto" w:fill="182830"/>
          </w:tcPr>
          <w:p>
            <w:r>
              <w:rPr>
                <w:b/>
                <w:color w:val="FFFFFF"/>
                <w:sz w:val="19"/>
              </w:rPr>
              <w:t>Fixed Fee (USD)</w:t>
            </w:r>
          </w:p>
        </w:tc>
        <w:tc>
          <w:tcPr>
            <w:tcW w:type="dxa" w:w="2520"/>
            <w:shd w:val="clear" w:color="auto" w:fill="182830"/>
          </w:tcPr>
          <w:p>
            <w:r>
              <w:rPr>
                <w:b/>
                <w:color w:val="FFFFFF"/>
                <w:sz w:val="19"/>
              </w:rPr>
              <w:t>Estimated Weeks</w:t>
            </w:r>
          </w:p>
        </w:tc>
      </w:tr>
      <w:tr>
        <w:tc>
          <w:tcPr>
            <w:tcW w:type="dxa" w:w="2520"/>
          </w:tcPr>
          <w:p>
            <w:r>
              <w:rPr>
                <w:b/>
              </w:rPr>
              <w:t>Phase 0: Discovery &amp; AST X-Ray</w:t>
            </w:r>
          </w:p>
        </w:tc>
        <w:tc>
          <w:tcPr>
            <w:tcW w:type="dxa" w:w="2520"/>
          </w:tcPr>
          <w:p>
            <w:r>
              <w:t>Verified inventory, dead-code manifest, core SQL fan-out map &amp; blueprint</w:t>
            </w:r>
          </w:p>
        </w:tc>
        <w:tc>
          <w:tcPr>
            <w:tcW w:type="dxa" w:w="2520"/>
          </w:tcPr>
          <w:p>
            <w:r>
              <w:t>$ [Insert]</w:t>
            </w:r>
          </w:p>
        </w:tc>
        <w:tc>
          <w:tcPr>
            <w:tcW w:type="dxa" w:w="2520"/>
          </w:tcPr>
          <w:p>
            <w:r>
              <w:t>[2 - 3 Weeks]</w:t>
            </w:r>
          </w:p>
        </w:tc>
      </w:tr>
      <w:tr>
        <w:tc>
          <w:tcPr>
            <w:tcW w:type="dxa" w:w="2520"/>
          </w:tcPr>
          <w:p>
            <w:r>
              <w:rPr>
                <w:b/>
              </w:rPr>
              <w:t>Phase 1: Core Schema &amp; Logic Uplift</w:t>
            </w:r>
          </w:p>
        </w:tc>
        <w:tc>
          <w:tcPr>
            <w:tcW w:type="dxa" w:w="2520"/>
          </w:tcPr>
          <w:p>
            <w:r>
              <w:t>Provisioned target stack, schema migration &amp; automated logic conversion</w:t>
            </w:r>
          </w:p>
        </w:tc>
        <w:tc>
          <w:tcPr>
            <w:tcW w:type="dxa" w:w="2520"/>
          </w:tcPr>
          <w:p>
            <w:r>
              <w:t>$ [Insert]</w:t>
            </w:r>
          </w:p>
        </w:tc>
        <w:tc>
          <w:tcPr>
            <w:tcW w:type="dxa" w:w="2520"/>
          </w:tcPr>
          <w:p>
            <w:r>
              <w:t>[4 - 8 Weeks]</w:t>
            </w:r>
          </w:p>
        </w:tc>
      </w:tr>
      <w:tr>
        <w:tc>
          <w:tcPr>
            <w:tcW w:type="dxa" w:w="2520"/>
          </w:tcPr>
          <w:p>
            <w:r>
              <w:rPr>
                <w:b/>
              </w:rPr>
              <w:t>Phase 2: UI, Reports &amp; UAT</w:t>
            </w:r>
          </w:p>
        </w:tc>
        <w:tc>
          <w:tcPr>
            <w:tcW w:type="dxa" w:w="2520"/>
          </w:tcPr>
          <w:p>
            <w:r>
              <w:t>Modernized portals/screens, runtime reports, AOP templates &amp; UAT sign-off</w:t>
            </w:r>
          </w:p>
        </w:tc>
        <w:tc>
          <w:tcPr>
            <w:tcW w:type="dxa" w:w="2520"/>
          </w:tcPr>
          <w:p>
            <w:r>
              <w:t>$ [Insert]</w:t>
            </w:r>
          </w:p>
        </w:tc>
        <w:tc>
          <w:tcPr>
            <w:tcW w:type="dxa" w:w="2520"/>
          </w:tcPr>
          <w:p>
            <w:r>
              <w:t>[3 - 6 Weeks]</w:t>
            </w:r>
          </w:p>
        </w:tc>
      </w:tr>
      <w:tr>
        <w:tc>
          <w:tcPr>
            <w:tcW w:type="dxa" w:w="2520"/>
          </w:tcPr>
          <w:p>
            <w:r>
              <w:rPr>
                <w:b/>
              </w:rPr>
              <w:t>Phase 3: Cutover &amp; Hypercare</w:t>
            </w:r>
          </w:p>
        </w:tc>
        <w:tc>
          <w:tcPr>
            <w:tcW w:type="dxa" w:w="2520"/>
          </w:tcPr>
          <w:p>
            <w:r>
              <w:t>Rehearsed cutover, reconciliation sign-off &amp; 30-day production hypercare</w:t>
            </w:r>
          </w:p>
        </w:tc>
        <w:tc>
          <w:tcPr>
            <w:tcW w:type="dxa" w:w="2520"/>
          </w:tcPr>
          <w:p>
            <w:r>
              <w:t>$ [Insert]</w:t>
            </w:r>
          </w:p>
        </w:tc>
        <w:tc>
          <w:tcPr>
            <w:tcW w:type="dxa" w:w="2520"/>
          </w:tcPr>
          <w:p>
            <w:r>
              <w:t>[2 - 3 Weeks]</w:t>
            </w:r>
          </w:p>
        </w:tc>
      </w:tr>
      <w:tr>
        <w:tc>
          <w:tcPr>
            <w:tcW w:type="dxa" w:w="2520"/>
          </w:tcPr>
          <w:p>
            <w:r>
              <w:rPr>
                <w:b/>
              </w:rPr>
              <w:t>Optional: Annual Managed Support</w:t>
            </w:r>
          </w:p>
        </w:tc>
        <w:tc>
          <w:tcPr>
            <w:tcW w:type="dxa" w:w="2520"/>
          </w:tcPr>
          <w:p>
            <w:r>
              <w:t>24x7 monitoring, patching, DBA tuning &amp; quarterly enhancements</w:t>
            </w:r>
          </w:p>
        </w:tc>
        <w:tc>
          <w:tcPr>
            <w:tcW w:type="dxa" w:w="2520"/>
          </w:tcPr>
          <w:p>
            <w:r>
              <w:t>$ [Insert/yr]</w:t>
            </w:r>
          </w:p>
        </w:tc>
        <w:tc>
          <w:tcPr>
            <w:tcW w:type="dxa" w:w="2520"/>
          </w:tcPr>
          <w:p>
            <w:r>
              <w:t>[12 Months]</w:t>
            </w:r>
          </w:p>
        </w:tc>
      </w:tr>
    </w:tbl>
    <w:sectPr w:rsidR="00FC693F" w:rsidRPr="0006063C" w:rsidSect="00034616">
      <w:headerReference w:type="default" r:id="rId9"/>
      <w:footerReference w:type="default" r:id="rId10"/>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This site is designed by Viscosity.AI  |  Editable Microsoft Word (.docx) RFP Template (VNA-RFP-021)</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MODIFIABLE RFP TEMPLATE &amp; VENDOR Q&amp;A  |  VNA-RFP-021  |  https://hyperion-hfm-essbase-to-epm-cloud.web.app/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rPr>
      <w:sz w:val="17"/>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sz w:val="17"/>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